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5F0" w:rsidRDefault="00BD55F0" w:rsidP="00BD55F0">
      <w:pPr>
        <w:jc w:val="center"/>
      </w:pPr>
    </w:p>
    <w:p w:rsidR="00BD55F0" w:rsidRDefault="00BD55F0" w:rsidP="00BD55F0">
      <w:pPr>
        <w:jc w:val="center"/>
      </w:pPr>
    </w:p>
    <w:p w:rsidR="00BD55F0" w:rsidRDefault="00BD55F0" w:rsidP="00BD55F0">
      <w:pPr>
        <w:jc w:val="center"/>
      </w:pPr>
    </w:p>
    <w:p w:rsidR="00BD55F0" w:rsidRDefault="00BD55F0" w:rsidP="00BD55F0">
      <w:pPr>
        <w:jc w:val="center"/>
      </w:pPr>
    </w:p>
    <w:p w:rsidR="00BD55F0" w:rsidRDefault="00BD55F0" w:rsidP="00BD55F0">
      <w:pPr>
        <w:jc w:val="center"/>
      </w:pPr>
    </w:p>
    <w:p w:rsidR="00BD55F0" w:rsidRDefault="00BD55F0" w:rsidP="00BD55F0">
      <w:pPr>
        <w:jc w:val="center"/>
      </w:pPr>
    </w:p>
    <w:p w:rsidR="00485710" w:rsidRDefault="005400D6" w:rsidP="00BD55F0">
      <w:pPr>
        <w:jc w:val="center"/>
      </w:pPr>
      <w:bookmarkStart w:id="0" w:name="_GoBack"/>
      <w:r>
        <w:t xml:space="preserve">Review of Noninvasive </w:t>
      </w:r>
      <w:bookmarkEnd w:id="0"/>
      <w:r>
        <w:t>Wearable Bio</w:t>
      </w:r>
      <w:r w:rsidR="00BD55F0">
        <w:t>-Devices</w:t>
      </w:r>
    </w:p>
    <w:p w:rsidR="00BD55F0" w:rsidRDefault="00BD55F0" w:rsidP="00BD55F0">
      <w:pPr>
        <w:jc w:val="center"/>
      </w:pPr>
      <w:r>
        <w:t>Student’s Name</w:t>
      </w:r>
    </w:p>
    <w:p w:rsidR="00BD55F0" w:rsidRDefault="00BD55F0" w:rsidP="00BD55F0">
      <w:pPr>
        <w:jc w:val="center"/>
      </w:pPr>
      <w:r>
        <w:t>Institution</w:t>
      </w:r>
    </w:p>
    <w:p w:rsidR="00BD55F0" w:rsidRDefault="00BD55F0">
      <w:pPr>
        <w:spacing w:line="276" w:lineRule="auto"/>
      </w:pPr>
      <w:r>
        <w:br w:type="page"/>
      </w:r>
    </w:p>
    <w:p w:rsidR="00304D40" w:rsidRDefault="00304D40" w:rsidP="00304D40">
      <w:pPr>
        <w:jc w:val="center"/>
      </w:pPr>
      <w:r>
        <w:lastRenderedPageBreak/>
        <w:t>Review of Noninvasive Wearable Bio-Devices</w:t>
      </w:r>
    </w:p>
    <w:p w:rsidR="00BD55F0" w:rsidRDefault="00BD55F0" w:rsidP="00304D40">
      <w:pPr>
        <w:jc w:val="center"/>
      </w:pPr>
      <w:r>
        <w:t>Introduction</w:t>
      </w:r>
    </w:p>
    <w:p w:rsidR="00BD55F0" w:rsidRDefault="00BD55F0" w:rsidP="00BD55F0">
      <w:pPr>
        <w:pStyle w:val="NormalWeb"/>
        <w:spacing w:before="0" w:beforeAutospacing="0" w:after="0" w:afterAutospacing="0" w:line="480" w:lineRule="auto"/>
        <w:ind w:firstLine="720"/>
        <w:rPr>
          <w:color w:val="0E101A"/>
        </w:rPr>
      </w:pPr>
      <w:r>
        <w:rPr>
          <w:color w:val="0E101A"/>
        </w:rPr>
        <w:t>A fictional device that I want to develop is smartphone sensors, which will be used for health monitoring. I will consider embedding cameras and microphones in smartphones to help in monitoring the diverse health conditions of patients. The sensors are crucial in cardiovascular health monitoring. Physicians can make use of the smartphone camera sensors in estimating heart rate and heart rate variability derived from the photoplethysmogram (PPG) signal resultant from the bare skin’s video</w:t>
      </w:r>
      <w:r w:rsidRPr="00B27B69">
        <w:t xml:space="preserve"> </w:t>
      </w:r>
      <w:r>
        <w:t>(Ciolacu, Binder, &amp; Popp, 2019)</w:t>
      </w:r>
      <w:r>
        <w:rPr>
          <w:color w:val="0E101A"/>
        </w:rPr>
        <w:t>. A flashlight of the camera is also used in illuminating tissues with the aim of measuring the PPG. The smartphone is significant in pulmonary health monitoring as it helps in lung rehabilitation exercise. Also, the microphone of the smartphone can be used to detect cough events in a patient. Besides, the smartphone will be used in ophthalmic health monitoring, skin health monitoring, and mental health monitoring, as well as hearing impairment monitoring systems.</w:t>
      </w:r>
    </w:p>
    <w:p w:rsidR="00BD55F0" w:rsidRDefault="00BD55F0" w:rsidP="00BD55F0">
      <w:pPr>
        <w:pStyle w:val="NormalWeb"/>
        <w:spacing w:before="0" w:beforeAutospacing="0" w:after="0" w:afterAutospacing="0" w:line="480" w:lineRule="auto"/>
        <w:rPr>
          <w:color w:val="0E101A"/>
        </w:rPr>
      </w:pPr>
      <w:r>
        <w:rPr>
          <w:rStyle w:val="Strong"/>
          <w:color w:val="0E101A"/>
        </w:rPr>
        <w:t>Expected Ethic Issues</w:t>
      </w:r>
    </w:p>
    <w:p w:rsidR="00BD55F0" w:rsidRDefault="00BD55F0" w:rsidP="00BD55F0">
      <w:pPr>
        <w:pStyle w:val="NormalWeb"/>
        <w:spacing w:before="0" w:beforeAutospacing="0" w:after="0" w:afterAutospacing="0" w:line="480" w:lineRule="auto"/>
        <w:ind w:firstLine="720"/>
        <w:rPr>
          <w:color w:val="0E101A"/>
        </w:rPr>
      </w:pPr>
      <w:r>
        <w:rPr>
          <w:color w:val="0E101A"/>
        </w:rPr>
        <w:t>Noninvasive wearable devices are pivotally crucial in helping people to monitor their health status. For instance, it helps people track their health status for fitness as well as at the medical level by giving vital information to physicians for the purposes of delivering requisite diagnostic and treatment. The health sector has undergone a technology revolution apparent in the miniaturization of electronic equipment that has become designed to be more reliable and adaptable</w:t>
      </w:r>
      <w:r w:rsidRPr="00A70F85">
        <w:t xml:space="preserve"> </w:t>
      </w:r>
      <w:r>
        <w:t>(Ioannidis, Kapasouri, &amp; Vassiliou, 2019)</w:t>
      </w:r>
      <w:r>
        <w:rPr>
          <w:color w:val="0E101A"/>
        </w:rPr>
        <w:t xml:space="preserve">. The use of noninvasive wearable bio-devices ought to be used ethically in order to ensure other people do not access the health data of patients without their consent. Therefore, there are myriad expected ethical issues. Foremost, the devices have to ensure the privacy of patients’ health data is not appropriated to unintended </w:t>
      </w:r>
      <w:r>
        <w:rPr>
          <w:color w:val="0E101A"/>
        </w:rPr>
        <w:lastRenderedPageBreak/>
        <w:t>people. Cardiac implantable devices are instrumental in long term surveillance and monitoring of the patients’ health data. The implantable cardiac devices such as implantable pacemakers, cardioverter defibrillators, as well as cardiac resychronization therapy systems have met the expected ethical outcomes of ensuring privacy concerning health information of patients. The data can only be monitored by caregivers remotely within hospitals. Thus they can detect adverse events likely to affect patients and deliver prompt corrective measures.</w:t>
      </w:r>
    </w:p>
    <w:p w:rsidR="00BD55F0" w:rsidRDefault="00BD55F0" w:rsidP="00BD55F0">
      <w:pPr>
        <w:pStyle w:val="NormalWeb"/>
        <w:spacing w:before="0" w:beforeAutospacing="0" w:after="0" w:afterAutospacing="0" w:line="480" w:lineRule="auto"/>
        <w:ind w:firstLine="720"/>
        <w:rPr>
          <w:color w:val="0E101A"/>
        </w:rPr>
      </w:pPr>
      <w:r>
        <w:rPr>
          <w:color w:val="0E101A"/>
        </w:rPr>
        <w:t> Privacy protections of health information of clients are beneficial in preserving their rights. Health information privacy has to be upheld by the diverse noninvasive wearable bio-devices to protect individuals from facing discrimination due to suffering from certain diseases. The sole reason for protecting patients’ health information is to ensure that the interests of the individuals are protected. The utilization of noninvasive wearable bio-devices has to champion the protection of individuals’ dignity. Security vulnerabilities of the devices can be managed through regulation</w:t>
      </w:r>
      <w:r w:rsidRPr="00BD01EB">
        <w:t xml:space="preserve"> </w:t>
      </w:r>
      <w:r>
        <w:t>(Samol et al., 2019)</w:t>
      </w:r>
      <w:r>
        <w:rPr>
          <w:color w:val="0E101A"/>
        </w:rPr>
        <w:t>. Attempt for scammers to access one’s health data has to be prevented. Regulators have to ensure that the security of the noninvasive wearable bio-devices is made feasible to store patients’ data without being compromised.</w:t>
      </w:r>
    </w:p>
    <w:p w:rsidR="00BD55F0" w:rsidRDefault="00BD55F0" w:rsidP="00BD55F0">
      <w:pPr>
        <w:pStyle w:val="NormalWeb"/>
        <w:spacing w:before="0" w:beforeAutospacing="0" w:after="0" w:afterAutospacing="0" w:line="480" w:lineRule="auto"/>
        <w:rPr>
          <w:color w:val="0E101A"/>
        </w:rPr>
      </w:pPr>
      <w:r>
        <w:rPr>
          <w:color w:val="0E101A"/>
        </w:rPr>
        <w:t>             Wearable sensors used in healthcare have taken the market by storm. Manufacturers have ventured into making wireless devices that are apt for ambulatory use. Conversely, this technology revolution is accompanied by unintended purposes that have to be resolved. An example is unintentional targeting. Health information concerning a patient should not be mismatched and become delivered to the wrong client. This can be averted by storing their data in the database with accounts of patients. The motive of storing the health data of every client in the database with their names is to curb the issue of sending wrongful medical information to patients. Wearable sensors are purposed to enhance wellbeing and health standards of patients, but then vigilance has to be taken against the occurrence of unintentional targeting. Some people might use the data to harm one’s health concern by propagating discriminatory information. Thus the risk of unintentional targeting can be controlled by ensuring collaboration between device manufacturers, regulators, along with end-users, is appropriately managed.</w:t>
      </w:r>
    </w:p>
    <w:p w:rsidR="00BD55F0" w:rsidRDefault="00BD55F0" w:rsidP="00BD55F0">
      <w:pPr>
        <w:pStyle w:val="NormalWeb"/>
        <w:spacing w:before="0" w:beforeAutospacing="0" w:after="0" w:afterAutospacing="0" w:line="480" w:lineRule="auto"/>
        <w:ind w:firstLine="720"/>
        <w:rPr>
          <w:color w:val="0E101A"/>
        </w:rPr>
      </w:pPr>
      <w:r>
        <w:rPr>
          <w:color w:val="0E101A"/>
        </w:rPr>
        <w:t>Relationships between clients and medical practitioners may arise. Some clients tend to be more open with medical practitioners resulting in affection between them. However, this breaches the code of ethics of health institutions. Clinicians and physicians should keep off their vested interests and deliver their services with absolute professionalism. Having love relationships among health practitioners and patients hampers the acceptable code of conduct that is accepted within institutions. It derails the work ethics of health providers as they become more engrossed towards their relationship while disregarding other clients who want urgent medical concerns.</w:t>
      </w:r>
    </w:p>
    <w:p w:rsidR="00BD55F0" w:rsidRDefault="00BD55F0" w:rsidP="00BD55F0">
      <w:pPr>
        <w:pStyle w:val="NormalWeb"/>
        <w:spacing w:before="0" w:beforeAutospacing="0" w:after="0" w:afterAutospacing="0" w:line="480" w:lineRule="auto"/>
        <w:rPr>
          <w:color w:val="0E101A"/>
        </w:rPr>
      </w:pPr>
      <w:r>
        <w:rPr>
          <w:rStyle w:val="Strong"/>
          <w:color w:val="0E101A"/>
        </w:rPr>
        <w:t>Precautionary Measures</w:t>
      </w:r>
    </w:p>
    <w:p w:rsidR="00BD55F0" w:rsidRDefault="00BD55F0" w:rsidP="00BD55F0">
      <w:pPr>
        <w:pStyle w:val="NormalWeb"/>
        <w:spacing w:before="0" w:beforeAutospacing="0" w:after="0" w:afterAutospacing="0" w:line="480" w:lineRule="auto"/>
        <w:ind w:firstLine="720"/>
        <w:rPr>
          <w:color w:val="0E101A"/>
        </w:rPr>
      </w:pPr>
      <w:r>
        <w:rPr>
          <w:color w:val="0E101A"/>
        </w:rPr>
        <w:t>Using noninvasive wearable bio-detectors comes along with ethical issues such as unintentional targeting and privacy. Various precautionary measures can be taken to avoid ethical quandaries. Firstly, protect the confidentiality of patients. A physician can preserve the confidentiality of their patients by ensuring the safe storage of confidential records. Typically, clinicians might be asked to avail records of their patients to employers. Hence they need to cautiously balance the revelation with their ethical obligations of protecting the confidentiality of patients</w:t>
      </w:r>
      <w:r w:rsidRPr="00D71AA2">
        <w:t xml:space="preserve"> </w:t>
      </w:r>
      <w:r>
        <w:t>(Pateraki et al., 2020)</w:t>
      </w:r>
      <w:r>
        <w:rPr>
          <w:color w:val="0E101A"/>
        </w:rPr>
        <w:t>. They need to consider on what basis they are making the disclosure by regarding whether there is a law mandating availing patients’ health data to the employer. Before a clinician discloses health information of a client to the employer, he or she has to procure appropriate consultations whether there will be a data breach on the side of patients. To guarantee the safety of the confidential records, clinicians have to notify those who will be found to have breached the acceptable ethics of misusing the patients’ data, by holding them responsible, and facing a lawsuit. Health information privacy is crucial in preventing potential embarrassment and discrimination a patient might be put to go through. When a health data of a client is revealed to another person without their consent, it contradicts the goal of confidentiality.</w:t>
      </w:r>
    </w:p>
    <w:p w:rsidR="00BD55F0" w:rsidRDefault="00BD55F0" w:rsidP="00BD55F0">
      <w:pPr>
        <w:pStyle w:val="NormalWeb"/>
        <w:spacing w:before="0" w:beforeAutospacing="0" w:after="0" w:afterAutospacing="0" w:line="480" w:lineRule="auto"/>
        <w:ind w:firstLine="720"/>
        <w:rPr>
          <w:color w:val="0E101A"/>
        </w:rPr>
      </w:pPr>
      <w:r>
        <w:rPr>
          <w:color w:val="0E101A"/>
        </w:rPr>
        <w:t>Unintended targeting can be avoided through the identification of clients’ registration, thereby disseminating accurate data to them. Clinicians and physicians can avoid role-related dilemmas be getting to know their clients, and responsibilities towards them along with the professional boundaries to perform their tasks. That is, health practitioners have to become more involved in having frank discussions with their parties so that they relay health issues to the required client. The information delivered to a client through smart wristwatches and smartphone applications needs to be for the intended person</w:t>
      </w:r>
      <w:r w:rsidRPr="00EC5160">
        <w:t xml:space="preserve"> </w:t>
      </w:r>
      <w:r>
        <w:t xml:space="preserve">(Foster, &amp; Torous, </w:t>
      </w:r>
      <w:r w:rsidRPr="0066053D">
        <w:t>2019).</w:t>
      </w:r>
      <w:r>
        <w:t xml:space="preserve"> </w:t>
      </w:r>
      <w:r>
        <w:rPr>
          <w:color w:val="0E101A"/>
        </w:rPr>
        <w:t>Undoubtedly, confidentiality limits have to be covered to protect the leakage or pilferage of health information of clients. Documentation of therapeutic interactions is essential to help in performing work along with the required ethical guidelines and standards. The following are the specifics that should be included when documenting therapeutic interactions. Firstly, there ought to be relevant telephone calls as well as out-of-office contacts for easy communication with patients. Secondly, follow-up efforts have to be performed in case a client has not been active towards his or her medical concern. Sometimes clients drop out of sight of a health institution, thereby prompting the clinicians and physicians to consider reaching out to him or her. This is aimed at understanding how he or she is faring on.</w:t>
      </w:r>
    </w:p>
    <w:p w:rsidR="00BD55F0" w:rsidRDefault="00BD55F0" w:rsidP="00BD55F0">
      <w:pPr>
        <w:pStyle w:val="NormalWeb"/>
        <w:spacing w:before="0" w:beforeAutospacing="0" w:after="0" w:afterAutospacing="0" w:line="480" w:lineRule="auto"/>
        <w:ind w:firstLine="720"/>
        <w:rPr>
          <w:color w:val="0E101A"/>
        </w:rPr>
      </w:pPr>
      <w:r>
        <w:rPr>
          <w:color w:val="0E101A"/>
        </w:rPr>
        <w:t>The safety of patients is etched on ethical principles deemed to care quality indicators. To realize patient safety, the provision and execution of the professional code of conduct are inevitable. Health organizations have to be committed towards detection and reporting of actions that seek to disdain professionalism, such as disclosing health information for patients to the employer without their consent. This is a clear show of unprofessionalism as it may result in revealing patients’ information, thereby leading to security vulnerabilities. Accessing a client’s health information can be used to propagate discriminatory remarks against them. Therefore, to subvert the issues of discrimination or stigmatization towards patients, medical practitioners need to embrace the required code of ethics that deters the sharing of clients’ information with others. When health providers perform their responsibilities by embodying ethical standards of health institutions, they show compliance to safeguard patients’ health information.</w:t>
      </w:r>
    </w:p>
    <w:p w:rsidR="00BD55F0" w:rsidRDefault="00BD55F0" w:rsidP="00BD55F0">
      <w:pPr>
        <w:pStyle w:val="NormalWeb"/>
        <w:spacing w:before="0" w:beforeAutospacing="0" w:after="0" w:afterAutospacing="0" w:line="480" w:lineRule="auto"/>
        <w:ind w:firstLine="720"/>
        <w:rPr>
          <w:color w:val="0E101A"/>
        </w:rPr>
      </w:pPr>
      <w:r>
        <w:rPr>
          <w:color w:val="0E101A"/>
        </w:rPr>
        <w:t>In events of cases of disclosure of medical errors, the parents to a patient have to be informed in due time. Clinicians have to reassure the parents that there were inappropriate patterns of providing health services, but then every service will be catered for by the hospital. Health practitioners have to be mindful of giving reliable and more accurate health services to patients to boost their trust in the hospital. Maintaining the highest levels of honesty and integrity is crucial in improving the trust clients have regarding the hospital rendering health services to them.</w:t>
      </w:r>
    </w:p>
    <w:p w:rsidR="00BD55F0" w:rsidRPr="008A65AE" w:rsidRDefault="00BD55F0" w:rsidP="00BD55F0">
      <w:pPr>
        <w:ind w:left="284" w:hanging="284"/>
        <w:rPr>
          <w:b/>
        </w:rPr>
      </w:pPr>
      <w:r w:rsidRPr="008A65AE">
        <w:rPr>
          <w:b/>
        </w:rPr>
        <w:t>Proposed Guidelines</w:t>
      </w:r>
    </w:p>
    <w:p w:rsidR="00BD55F0" w:rsidRDefault="00BD55F0" w:rsidP="00BD55F0">
      <w:pPr>
        <w:ind w:firstLine="720"/>
      </w:pPr>
      <w:r>
        <w:t xml:space="preserve">The development of noninvasive wearable devices is useful in ensuring treatment data to get gathered for proper reporting. The actual time taken to perform all this would provide substantial potential data gets collected in a specific period. The creation of a similar device to help in writing treatment report of patients must get done through some regulations </w:t>
      </w:r>
      <w:r>
        <w:rPr>
          <w:szCs w:val="24"/>
        </w:rPr>
        <w:t>(</w:t>
      </w:r>
      <w:r w:rsidRPr="00A20490">
        <w:rPr>
          <w:szCs w:val="24"/>
        </w:rPr>
        <w:t>Ravizza</w:t>
      </w:r>
      <w:r>
        <w:rPr>
          <w:szCs w:val="24"/>
        </w:rPr>
        <w:t xml:space="preserve"> et al</w:t>
      </w:r>
      <w:r>
        <w:t xml:space="preserve">., 2019). The use of technology related to noninvasive wearable medical devices must get regulated systematically. The creation of similar development for use in hospitals should go through some regulations that ensure the monitoring of patients gets done effectively. </w:t>
      </w:r>
    </w:p>
    <w:p w:rsidR="00BD55F0" w:rsidRDefault="00BD55F0" w:rsidP="00BD55F0">
      <w:pPr>
        <w:ind w:firstLine="720"/>
      </w:pPr>
      <w:r>
        <w:t xml:space="preserve">Firstly, I would propose the need to identify the suitability of the device that would get used in creating the patient-reported outcome. The evaluation of the device suitability would help in assessing the study outcomes. For instance, monitoring wearable devices used by patients at homes can get approved by doctors after determining their appropriateness. Allowing the use of a wearable device that performs the work of deciding the health conditions of people must get checked. Considerations must get determined to the efficiency of the device treatment method </w:t>
      </w:r>
      <w:r>
        <w:rPr>
          <w:szCs w:val="24"/>
        </w:rPr>
        <w:t>(</w:t>
      </w:r>
      <w:r w:rsidRPr="00A20490">
        <w:rPr>
          <w:szCs w:val="24"/>
        </w:rPr>
        <w:t>Ravizza</w:t>
      </w:r>
      <w:r>
        <w:rPr>
          <w:szCs w:val="24"/>
        </w:rPr>
        <w:t xml:space="preserve"> et al</w:t>
      </w:r>
      <w:r>
        <w:t xml:space="preserve">., 2019). The safety of the device must get committed to helping in allowing its use amongst the patients. The biological and electrical performance created by the device must get understood to determine any form of negative implication it may pose to patients. For example, if the new method is to get worn on the body, the materials used should not affect the skin. Regulations placed on the safety of the new device for treatment must get used in understanding human health. </w:t>
      </w:r>
    </w:p>
    <w:p w:rsidR="00BD55F0" w:rsidRDefault="00BD55F0" w:rsidP="00BD55F0">
      <w:pPr>
        <w:ind w:firstLine="720"/>
      </w:pPr>
      <w:r>
        <w:t>Secondly, I would propose checking for the suitability of the wearable device that would get used in the regulatory treatment process. The device selection would get determined concerning the population of patients in need of treatment. Some of the new devices to get used in the treatment of patients may affect the skin of patients if used for a more extended period. Such a process influences the choice of the device that needs to get used in monitoring the health of casualties. The suitability of the new technological equipment for treating patients should be suitable to the patients who use it to get treatment. A patient population must get considered to assist in assessing the need for using a new treatment device</w:t>
      </w:r>
      <w:r>
        <w:rPr>
          <w:szCs w:val="24"/>
        </w:rPr>
        <w:t>(</w:t>
      </w:r>
      <w:r w:rsidRPr="00A20490">
        <w:rPr>
          <w:szCs w:val="24"/>
        </w:rPr>
        <w:t>Howard</w:t>
      </w:r>
      <w:r>
        <w:rPr>
          <w:szCs w:val="24"/>
        </w:rPr>
        <w:t xml:space="preserve"> Et al</w:t>
      </w:r>
      <w:r>
        <w:t xml:space="preserve">., 2019). Checking for the suitability of the new wearable device is significant in understanding the number of people who can get treated. The guideline of following the use of treatment devices similar to noninvasive methods is essential. The suitability of the new treatment devices must get determined before they get used to hospitals. </w:t>
      </w:r>
    </w:p>
    <w:p w:rsidR="00BD55F0" w:rsidRDefault="00BD55F0" w:rsidP="00BD55F0">
      <w:pPr>
        <w:ind w:firstLine="720"/>
      </w:pPr>
      <w:r>
        <w:t xml:space="preserve">Thirdly, the validity and reliability of all the data that gets generated by the new device must get understood. The use of the original equipment would only get implemented only in cases where the noninvasive wearable devices have not got supplied in hospitals. They would also get used as a back-up plan for the most hospital until it’s proven to develop accurate measurements. The validity and reliability of the new device must get created to make sure clinic trials get passed. The precision of using treatment devices similar to wearable devices helps in promoting productive assessment </w:t>
      </w:r>
      <w:r>
        <w:rPr>
          <w:szCs w:val="24"/>
        </w:rPr>
        <w:t>(Tamura, 2019)</w:t>
      </w:r>
      <w:r>
        <w:t xml:space="preserve">. Proposing the ability to understand the validity, as well as reliability of the new treatment technological device, is instrumental in allowing its use in hospitals. The regulation hinged on legality and safety of treatment measurement produced by the original method is effective. The introduction of similar device development must assure hospital management that it can work with high validity and reliability when testing human health. </w:t>
      </w:r>
    </w:p>
    <w:p w:rsidR="00BD55F0" w:rsidRDefault="00BD55F0" w:rsidP="00BD55F0">
      <w:pPr>
        <w:ind w:firstLine="720"/>
        <w:jc w:val="center"/>
      </w:pPr>
    </w:p>
    <w:p w:rsidR="00BD55F0" w:rsidRDefault="00BD55F0" w:rsidP="00BD55F0">
      <w:pPr>
        <w:ind w:firstLine="720"/>
        <w:jc w:val="center"/>
      </w:pPr>
    </w:p>
    <w:p w:rsidR="00BD55F0" w:rsidRDefault="00BD55F0" w:rsidP="00BD55F0">
      <w:pPr>
        <w:ind w:firstLine="720"/>
        <w:jc w:val="center"/>
      </w:pPr>
    </w:p>
    <w:p w:rsidR="00BD55F0" w:rsidRDefault="00BD55F0" w:rsidP="00BD55F0">
      <w:pPr>
        <w:ind w:firstLine="720"/>
        <w:jc w:val="center"/>
      </w:pPr>
    </w:p>
    <w:p w:rsidR="00BD55F0" w:rsidRDefault="00BD55F0" w:rsidP="00233513"/>
    <w:p w:rsidR="00BD55F0" w:rsidRPr="0066053D" w:rsidRDefault="00BD55F0" w:rsidP="00BD55F0">
      <w:pPr>
        <w:ind w:firstLine="720"/>
        <w:jc w:val="center"/>
      </w:pPr>
      <w:r>
        <w:t>References</w:t>
      </w:r>
    </w:p>
    <w:p w:rsidR="00BD55F0" w:rsidRPr="0066053D" w:rsidRDefault="00BD55F0" w:rsidP="00BD55F0">
      <w:pPr>
        <w:spacing w:after="0"/>
        <w:ind w:left="720" w:hanging="720"/>
        <w:rPr>
          <w:rFonts w:eastAsia="Times New Roman" w:cs="Times New Roman"/>
          <w:szCs w:val="24"/>
        </w:rPr>
      </w:pPr>
      <w:r w:rsidRPr="0066053D">
        <w:rPr>
          <w:rFonts w:eastAsia="Times New Roman" w:cs="Times New Roman"/>
          <w:szCs w:val="24"/>
        </w:rPr>
        <w:t xml:space="preserve">Ciolacu, M. I., Binder, L., &amp; Popp, H. (2019, October). Enabling IoT in Education 4.0 with BioSensors from Wearables and Artificial Intelligence. In </w:t>
      </w:r>
      <w:r w:rsidRPr="0066053D">
        <w:rPr>
          <w:rFonts w:eastAsia="Times New Roman" w:cs="Times New Roman"/>
          <w:i/>
          <w:iCs/>
          <w:szCs w:val="24"/>
        </w:rPr>
        <w:t>2019 IEEE 25th International Symposium for Design and Technology in Electronic Packaging (SIITME)</w:t>
      </w:r>
      <w:r w:rsidRPr="0066053D">
        <w:rPr>
          <w:rFonts w:eastAsia="Times New Roman" w:cs="Times New Roman"/>
          <w:szCs w:val="24"/>
        </w:rPr>
        <w:t xml:space="preserve"> (pp. 17-24). IEEE.</w:t>
      </w:r>
    </w:p>
    <w:p w:rsidR="00BD55F0" w:rsidRPr="0066053D" w:rsidRDefault="00BD55F0" w:rsidP="00BD55F0">
      <w:pPr>
        <w:spacing w:after="0"/>
        <w:ind w:left="720" w:hanging="720"/>
        <w:rPr>
          <w:rFonts w:eastAsia="Times New Roman" w:cs="Times New Roman"/>
          <w:szCs w:val="24"/>
        </w:rPr>
      </w:pPr>
      <w:r w:rsidRPr="0066053D">
        <w:rPr>
          <w:rFonts w:eastAsia="Times New Roman" w:cs="Times New Roman"/>
          <w:szCs w:val="24"/>
        </w:rPr>
        <w:t xml:space="preserve">Foster, K. R., &amp; Torous, J. (2019). The opportunity and obstacles for smartwatches and wearable sensors. </w:t>
      </w:r>
      <w:r w:rsidRPr="0066053D">
        <w:rPr>
          <w:rFonts w:eastAsia="Times New Roman" w:cs="Times New Roman"/>
          <w:i/>
          <w:iCs/>
          <w:szCs w:val="24"/>
        </w:rPr>
        <w:t>IEEE pulse</w:t>
      </w:r>
      <w:r w:rsidRPr="0066053D">
        <w:rPr>
          <w:rFonts w:eastAsia="Times New Roman" w:cs="Times New Roman"/>
          <w:szCs w:val="24"/>
        </w:rPr>
        <w:t xml:space="preserve">, </w:t>
      </w:r>
      <w:r w:rsidRPr="0066053D">
        <w:rPr>
          <w:rFonts w:eastAsia="Times New Roman" w:cs="Times New Roman"/>
          <w:i/>
          <w:iCs/>
          <w:szCs w:val="24"/>
        </w:rPr>
        <w:t>10</w:t>
      </w:r>
      <w:r w:rsidRPr="0066053D">
        <w:rPr>
          <w:rFonts w:eastAsia="Times New Roman" w:cs="Times New Roman"/>
          <w:szCs w:val="24"/>
        </w:rPr>
        <w:t>(1), 22-25.</w:t>
      </w:r>
    </w:p>
    <w:p w:rsidR="00BD55F0" w:rsidRPr="00A20490" w:rsidRDefault="00BD55F0" w:rsidP="00BD55F0">
      <w:pPr>
        <w:spacing w:after="0"/>
        <w:ind w:left="720" w:hanging="720"/>
        <w:rPr>
          <w:szCs w:val="24"/>
        </w:rPr>
      </w:pPr>
      <w:r w:rsidRPr="00A20490">
        <w:rPr>
          <w:szCs w:val="24"/>
        </w:rPr>
        <w:t xml:space="preserve">Howard, M. A., Liotta, L. A., Naidich, R., Trang, M. L., Sethi, I., Woodhouse, R., &amp; Neupane, K. (2019). </w:t>
      </w:r>
      <w:r w:rsidRPr="00A20490">
        <w:rPr>
          <w:i/>
          <w:iCs/>
          <w:szCs w:val="24"/>
        </w:rPr>
        <w:t>U.S. Patent Application No. 16/169,295</w:t>
      </w:r>
      <w:r w:rsidRPr="00A20490">
        <w:rPr>
          <w:szCs w:val="24"/>
        </w:rPr>
        <w:t>.</w:t>
      </w:r>
    </w:p>
    <w:p w:rsidR="00BD55F0" w:rsidRDefault="00BD55F0" w:rsidP="00BD55F0">
      <w:pPr>
        <w:spacing w:after="0"/>
        <w:ind w:left="720" w:hanging="720"/>
        <w:rPr>
          <w:rFonts w:eastAsia="Times New Roman" w:cs="Times New Roman"/>
          <w:szCs w:val="24"/>
        </w:rPr>
      </w:pPr>
      <w:r w:rsidRPr="0066053D">
        <w:rPr>
          <w:rFonts w:eastAsia="Times New Roman" w:cs="Times New Roman"/>
          <w:szCs w:val="24"/>
        </w:rPr>
        <w:t>Ioannidis, D. C., Kapasouri, E. M., &amp; Vassiliou, V. S. (2019). Wearable devices: monitoring the future?.</w:t>
      </w:r>
    </w:p>
    <w:p w:rsidR="00BD55F0" w:rsidRDefault="00BD55F0" w:rsidP="00BD55F0">
      <w:pPr>
        <w:spacing w:after="0"/>
        <w:ind w:left="720" w:hanging="720"/>
        <w:rPr>
          <w:rFonts w:eastAsia="Times New Roman" w:cs="Times New Roman"/>
          <w:szCs w:val="24"/>
        </w:rPr>
      </w:pPr>
      <w:r w:rsidRPr="0066053D">
        <w:rPr>
          <w:rFonts w:eastAsia="Times New Roman" w:cs="Times New Roman"/>
          <w:szCs w:val="24"/>
        </w:rPr>
        <w:t xml:space="preserve">Pateraki, M., Fysarakis, K., Sakkalis, V., Spanoudakis, G., Varlamis, I., Maniadakis, M., ... &amp; Loutsetis, E. (2020). Biosensors and Internet of Things in smart healthcare applications: challenges and opportunities. In </w:t>
      </w:r>
      <w:r w:rsidRPr="0066053D">
        <w:rPr>
          <w:rFonts w:eastAsia="Times New Roman" w:cs="Times New Roman"/>
          <w:i/>
          <w:iCs/>
          <w:szCs w:val="24"/>
        </w:rPr>
        <w:t>Wearable and Implantable Medical Devices</w:t>
      </w:r>
      <w:r w:rsidRPr="0066053D">
        <w:rPr>
          <w:rFonts w:eastAsia="Times New Roman" w:cs="Times New Roman"/>
          <w:szCs w:val="24"/>
        </w:rPr>
        <w:t xml:space="preserve"> (pp. 25-53). Academic Press.</w:t>
      </w:r>
    </w:p>
    <w:p w:rsidR="00BD55F0" w:rsidRPr="00A20490" w:rsidRDefault="00BD55F0" w:rsidP="00BD55F0">
      <w:pPr>
        <w:spacing w:after="0"/>
        <w:ind w:left="720" w:hanging="720"/>
        <w:rPr>
          <w:szCs w:val="24"/>
        </w:rPr>
      </w:pPr>
      <w:r w:rsidRPr="00A20490">
        <w:rPr>
          <w:szCs w:val="24"/>
        </w:rPr>
        <w:t xml:space="preserve">Ravizza, A., De Maria, C., Di Pietro, L., Sternini, F., Audenino, A. L., &amp; Bignardi, C. (2019). Comprehensive review on current and future regulatory requirements on wearable sensors in Preclinical and Clinical testing. </w:t>
      </w:r>
      <w:r w:rsidRPr="00A20490">
        <w:rPr>
          <w:i/>
          <w:iCs/>
          <w:szCs w:val="24"/>
        </w:rPr>
        <w:t>Frontiers in bioengineering and biotechnology</w:t>
      </w:r>
      <w:r w:rsidRPr="00A20490">
        <w:rPr>
          <w:szCs w:val="24"/>
        </w:rPr>
        <w:t xml:space="preserve">, </w:t>
      </w:r>
      <w:r w:rsidRPr="00A20490">
        <w:rPr>
          <w:i/>
          <w:iCs/>
          <w:szCs w:val="24"/>
        </w:rPr>
        <w:t>7</w:t>
      </w:r>
      <w:r w:rsidRPr="00A20490">
        <w:rPr>
          <w:szCs w:val="24"/>
        </w:rPr>
        <w:t>.</w:t>
      </w:r>
    </w:p>
    <w:p w:rsidR="00BD55F0" w:rsidRPr="0066053D" w:rsidRDefault="00BD55F0" w:rsidP="00BD55F0">
      <w:pPr>
        <w:spacing w:after="0"/>
        <w:ind w:left="720" w:hanging="720"/>
        <w:rPr>
          <w:rFonts w:eastAsia="Times New Roman" w:cs="Times New Roman"/>
          <w:szCs w:val="24"/>
        </w:rPr>
      </w:pPr>
      <w:r w:rsidRPr="0066053D">
        <w:rPr>
          <w:rFonts w:eastAsia="Times New Roman" w:cs="Times New Roman"/>
          <w:szCs w:val="24"/>
        </w:rPr>
        <w:t xml:space="preserve">Samol, A., Bischof, K., Luani, B., Pascut, D., Wiemer, M., &amp; Kaese, S. (2019). Single-Lead ECG Recordings Including Einthoven and Wilson Leads by a Smartwatch: A New Era of Patient Directed Early ECG Differential Diagnosis of Cardiac Diseases?. </w:t>
      </w:r>
      <w:r w:rsidRPr="0066053D">
        <w:rPr>
          <w:rFonts w:eastAsia="Times New Roman" w:cs="Times New Roman"/>
          <w:i/>
          <w:iCs/>
          <w:szCs w:val="24"/>
        </w:rPr>
        <w:t>Sensors</w:t>
      </w:r>
      <w:r w:rsidRPr="0066053D">
        <w:rPr>
          <w:rFonts w:eastAsia="Times New Roman" w:cs="Times New Roman"/>
          <w:szCs w:val="24"/>
        </w:rPr>
        <w:t xml:space="preserve">, </w:t>
      </w:r>
      <w:r w:rsidRPr="0066053D">
        <w:rPr>
          <w:rFonts w:eastAsia="Times New Roman" w:cs="Times New Roman"/>
          <w:i/>
          <w:iCs/>
          <w:szCs w:val="24"/>
        </w:rPr>
        <w:t>19</w:t>
      </w:r>
      <w:r w:rsidRPr="0066053D">
        <w:rPr>
          <w:rFonts w:eastAsia="Times New Roman" w:cs="Times New Roman"/>
          <w:szCs w:val="24"/>
        </w:rPr>
        <w:t>(20), 4377.</w:t>
      </w:r>
    </w:p>
    <w:p w:rsidR="00BD55F0" w:rsidRPr="00A20490" w:rsidRDefault="00BD55F0" w:rsidP="00BD55F0">
      <w:pPr>
        <w:spacing w:after="0"/>
        <w:ind w:left="720" w:hanging="720"/>
        <w:rPr>
          <w:szCs w:val="24"/>
        </w:rPr>
      </w:pPr>
      <w:r w:rsidRPr="00A20490">
        <w:rPr>
          <w:szCs w:val="24"/>
        </w:rPr>
        <w:t xml:space="preserve">Tamura, T. (2019, September). Regulation and Approval of Continuous Non-invasive Blood-Pressure Monitoring Devices. In </w:t>
      </w:r>
      <w:r w:rsidRPr="00A20490">
        <w:rPr>
          <w:i/>
          <w:iCs/>
          <w:szCs w:val="24"/>
        </w:rPr>
        <w:t>Mediterranean Conference on Medical and Biological Engineering and Computing</w:t>
      </w:r>
      <w:r w:rsidRPr="00A20490">
        <w:rPr>
          <w:szCs w:val="24"/>
        </w:rPr>
        <w:t xml:space="preserve"> (pp. 1021-1027). Springer, Cham.</w:t>
      </w:r>
    </w:p>
    <w:p w:rsidR="00BD55F0" w:rsidRPr="0066053D" w:rsidRDefault="00BD55F0" w:rsidP="00BD55F0">
      <w:pPr>
        <w:spacing w:after="0"/>
        <w:ind w:left="720" w:hanging="720"/>
        <w:rPr>
          <w:rFonts w:eastAsia="Times New Roman" w:cs="Times New Roman"/>
          <w:szCs w:val="24"/>
        </w:rPr>
      </w:pPr>
    </w:p>
    <w:p w:rsidR="00BD55F0" w:rsidRPr="00B24B91" w:rsidRDefault="00BD55F0" w:rsidP="00BD55F0">
      <w:pPr>
        <w:ind w:hanging="720"/>
      </w:pPr>
    </w:p>
    <w:p w:rsidR="00BD55F0" w:rsidRDefault="00BD55F0" w:rsidP="00BD55F0"/>
    <w:p w:rsidR="00BD55F0" w:rsidRDefault="00BD55F0" w:rsidP="00BD55F0"/>
    <w:p w:rsidR="00BD55F0" w:rsidRDefault="00BD55F0" w:rsidP="00BD55F0">
      <w:pPr>
        <w:ind w:firstLine="720"/>
      </w:pPr>
    </w:p>
    <w:p w:rsidR="00BD55F0" w:rsidRDefault="00BD55F0" w:rsidP="00BD55F0">
      <w:pPr>
        <w:tabs>
          <w:tab w:val="left" w:pos="4680"/>
        </w:tabs>
      </w:pPr>
    </w:p>
    <w:p w:rsidR="00BD55F0" w:rsidRPr="00136490" w:rsidRDefault="00BD55F0" w:rsidP="00BD55F0"/>
    <w:p w:rsidR="00BD55F0" w:rsidRDefault="00BD55F0" w:rsidP="00BD55F0">
      <w:pPr>
        <w:jc w:val="center"/>
      </w:pPr>
    </w:p>
    <w:p w:rsidR="00BD55F0" w:rsidRPr="005400D6" w:rsidRDefault="00BD55F0" w:rsidP="005400D6"/>
    <w:sectPr w:rsidR="00BD55F0" w:rsidRPr="005400D6" w:rsidSect="005400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463" w:rsidRDefault="006C4463" w:rsidP="005400D6">
      <w:pPr>
        <w:spacing w:after="0" w:line="240" w:lineRule="auto"/>
      </w:pPr>
      <w:r>
        <w:separator/>
      </w:r>
    </w:p>
  </w:endnote>
  <w:endnote w:type="continuationSeparator" w:id="0">
    <w:p w:rsidR="006C4463" w:rsidRDefault="006C4463" w:rsidP="00540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463" w:rsidRDefault="006C4463" w:rsidP="005400D6">
      <w:pPr>
        <w:spacing w:after="0" w:line="240" w:lineRule="auto"/>
      </w:pPr>
      <w:r>
        <w:separator/>
      </w:r>
    </w:p>
  </w:footnote>
  <w:footnote w:type="continuationSeparator" w:id="0">
    <w:p w:rsidR="006C4463" w:rsidRDefault="006C4463" w:rsidP="005400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6097219"/>
      <w:docPartObj>
        <w:docPartGallery w:val="Page Numbers (Top of Page)"/>
        <w:docPartUnique/>
      </w:docPartObj>
    </w:sdtPr>
    <w:sdtEndPr/>
    <w:sdtContent>
      <w:p w:rsidR="005400D6" w:rsidRDefault="005400D6">
        <w:pPr>
          <w:pStyle w:val="Header"/>
          <w:jc w:val="right"/>
        </w:pPr>
        <w:r>
          <w:t>REVIEW OF NONINVASIVE WEARABLE BIO-DEVICES</w:t>
        </w:r>
        <w:r>
          <w:tab/>
        </w:r>
        <w:r w:rsidR="006C4463">
          <w:fldChar w:fldCharType="begin"/>
        </w:r>
        <w:r w:rsidR="006C4463">
          <w:instrText xml:space="preserve"> PAGE   \* MERGEFORMAT </w:instrText>
        </w:r>
        <w:r w:rsidR="006C4463">
          <w:fldChar w:fldCharType="separate"/>
        </w:r>
        <w:r w:rsidR="00B2097F">
          <w:rPr>
            <w:noProof/>
          </w:rPr>
          <w:t>2</w:t>
        </w:r>
        <w:r w:rsidR="006C4463">
          <w:rPr>
            <w:noProof/>
          </w:rPr>
          <w:fldChar w:fldCharType="end"/>
        </w:r>
      </w:p>
    </w:sdtContent>
  </w:sdt>
  <w:p w:rsidR="005400D6" w:rsidRDefault="005400D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0D6" w:rsidRDefault="005400D6">
    <w:pPr>
      <w:pStyle w:val="Header"/>
    </w:pPr>
    <w:r>
      <w:t>Running Head: REVIEW OF NONINVASIVE WEARABLE BIO-DEVICES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03F"/>
    <w:rsid w:val="000A1AB3"/>
    <w:rsid w:val="000C59C8"/>
    <w:rsid w:val="00136490"/>
    <w:rsid w:val="002201F5"/>
    <w:rsid w:val="00233513"/>
    <w:rsid w:val="00304D40"/>
    <w:rsid w:val="005400D6"/>
    <w:rsid w:val="005A61E9"/>
    <w:rsid w:val="00631E29"/>
    <w:rsid w:val="00641861"/>
    <w:rsid w:val="006C4463"/>
    <w:rsid w:val="0074199C"/>
    <w:rsid w:val="008A65AE"/>
    <w:rsid w:val="009061F6"/>
    <w:rsid w:val="00932A1D"/>
    <w:rsid w:val="0097103F"/>
    <w:rsid w:val="00A70F85"/>
    <w:rsid w:val="00B2097F"/>
    <w:rsid w:val="00B27B69"/>
    <w:rsid w:val="00B475DA"/>
    <w:rsid w:val="00B567E5"/>
    <w:rsid w:val="00B7433A"/>
    <w:rsid w:val="00BD01EB"/>
    <w:rsid w:val="00BD55F0"/>
    <w:rsid w:val="00D71AA2"/>
    <w:rsid w:val="00E47ED8"/>
    <w:rsid w:val="00EC5160"/>
    <w:rsid w:val="00EE2A81"/>
    <w:rsid w:val="00F23F7E"/>
    <w:rsid w:val="00F30FBC"/>
    <w:rsid w:val="00F67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999C72-529F-4DBF-82F1-11DDFC253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49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7718"/>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F67718"/>
    <w:rPr>
      <w:b/>
      <w:bCs/>
    </w:rPr>
  </w:style>
  <w:style w:type="paragraph" w:styleId="Header">
    <w:name w:val="header"/>
    <w:basedOn w:val="Normal"/>
    <w:link w:val="HeaderChar"/>
    <w:uiPriority w:val="99"/>
    <w:unhideWhenUsed/>
    <w:rsid w:val="00540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0D6"/>
    <w:rPr>
      <w:rFonts w:ascii="Times New Roman" w:hAnsi="Times New Roman"/>
      <w:sz w:val="24"/>
    </w:rPr>
  </w:style>
  <w:style w:type="paragraph" w:styleId="Footer">
    <w:name w:val="footer"/>
    <w:basedOn w:val="Normal"/>
    <w:link w:val="FooterChar"/>
    <w:uiPriority w:val="99"/>
    <w:semiHidden/>
    <w:unhideWhenUsed/>
    <w:rsid w:val="005400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00D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55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2281</Words>
  <Characters>13004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2020-02-20T18:47:00Z</dcterms:created>
  <dcterms:modified xsi:type="dcterms:W3CDTF">2020-02-20T18:47:00Z</dcterms:modified>
</cp:coreProperties>
</file>